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附件2</w:t>
      </w:r>
    </w:p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20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23年“五一”端午</w:t>
      </w:r>
      <w:r>
        <w:rPr>
          <w:rFonts w:hint="eastAsia" w:ascii="黑体" w:hAnsi="黑体" w:eastAsia="黑体"/>
          <w:bCs/>
          <w:sz w:val="32"/>
          <w:szCs w:val="32"/>
        </w:rPr>
        <w:t>期间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2"/>
        <w:tblW w:w="13389" w:type="dxa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-141" w:leftChars="-67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    审核人（党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组织主要负责人</w:t>
      </w:r>
      <w:r>
        <w:rPr>
          <w:rFonts w:hint="eastAsia" w:ascii="楷体_GB2312" w:eastAsia="楷体_GB2312"/>
          <w:sz w:val="32"/>
          <w:szCs w:val="32"/>
        </w:rPr>
        <w:t>）：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D0C5A"/>
    <w:rsid w:val="4C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2023-04-28T08:38:00Z</dcterms:created>
  <dc:creator>青年艺术追越者</dc:creator>
  <cp:lastModifiedBy>青年艺术追越者</cp:lastModifiedBy>
  <dcterms:modified xsi:type="dcterms:W3CDTF">2023-04-28T08:38:24Z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